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085"/>
        <w:gridCol w:w="567"/>
        <w:gridCol w:w="5812"/>
      </w:tblGrid>
      <w:tr w:rsidR="006F4FB0" w:rsidTr="006F4FB0">
        <w:tc>
          <w:tcPr>
            <w:tcW w:w="3085" w:type="dxa"/>
            <w:hideMark/>
          </w:tcPr>
          <w:p w:rsidR="006F4FB0" w:rsidRDefault="006F4FB0">
            <w:pPr>
              <w:widowControl w:val="0"/>
              <w:jc w:val="center"/>
              <w:rPr>
                <w:b/>
                <w:bCs/>
                <w:sz w:val="26"/>
                <w:szCs w:val="26"/>
                <w:lang w:val="nl-NL"/>
              </w:rPr>
            </w:pPr>
            <w:r>
              <w:rPr>
                <w:b/>
                <w:bCs/>
                <w:sz w:val="26"/>
                <w:szCs w:val="26"/>
                <w:lang w:val="nl-NL"/>
              </w:rPr>
              <w:t>BỘ TÀI CHÍNH</w:t>
            </w:r>
          </w:p>
        </w:tc>
        <w:tc>
          <w:tcPr>
            <w:tcW w:w="567" w:type="dxa"/>
          </w:tcPr>
          <w:p w:rsidR="006F4FB0" w:rsidRDefault="006F4FB0">
            <w:pPr>
              <w:widowControl w:val="0"/>
              <w:jc w:val="center"/>
              <w:rPr>
                <w:b/>
                <w:bCs/>
                <w:sz w:val="26"/>
                <w:szCs w:val="26"/>
                <w:lang w:val="nl-NL"/>
              </w:rPr>
            </w:pPr>
          </w:p>
        </w:tc>
        <w:tc>
          <w:tcPr>
            <w:tcW w:w="5812" w:type="dxa"/>
            <w:hideMark/>
          </w:tcPr>
          <w:p w:rsidR="006F4FB0" w:rsidRDefault="006F4FB0">
            <w:pPr>
              <w:widowControl w:val="0"/>
              <w:jc w:val="center"/>
              <w:rPr>
                <w:b/>
                <w:bCs/>
                <w:sz w:val="26"/>
                <w:szCs w:val="26"/>
                <w:lang w:val="nl-NL"/>
              </w:rPr>
            </w:pPr>
            <w:r>
              <w:rPr>
                <w:b/>
                <w:bCs/>
                <w:sz w:val="26"/>
                <w:szCs w:val="26"/>
                <w:lang w:val="nl-NL"/>
              </w:rPr>
              <w:t>CỘNG HOÀ XÃ HỘI CHỦ NGHĨA VIỆT NAM</w:t>
            </w:r>
          </w:p>
        </w:tc>
      </w:tr>
      <w:tr w:rsidR="006F4FB0" w:rsidTr="006F4FB0">
        <w:tc>
          <w:tcPr>
            <w:tcW w:w="3085" w:type="dxa"/>
            <w:hideMark/>
          </w:tcPr>
          <w:p w:rsidR="006F4FB0" w:rsidRDefault="006F4FB0">
            <w:pPr>
              <w:widowControl w:val="0"/>
              <w:jc w:val="center"/>
              <w:rPr>
                <w:bCs/>
                <w:sz w:val="26"/>
                <w:szCs w:val="26"/>
                <w:lang w:val="nl-NL"/>
              </w:rPr>
            </w:pPr>
            <w:r>
              <w:rPr>
                <w:bCs/>
                <w:sz w:val="26"/>
                <w:szCs w:val="26"/>
                <w:lang w:val="nl-NL"/>
              </w:rPr>
              <w:t>–––––</w:t>
            </w:r>
          </w:p>
        </w:tc>
        <w:tc>
          <w:tcPr>
            <w:tcW w:w="567" w:type="dxa"/>
          </w:tcPr>
          <w:p w:rsidR="006F4FB0" w:rsidRDefault="006F4FB0">
            <w:pPr>
              <w:widowControl w:val="0"/>
              <w:jc w:val="center"/>
              <w:rPr>
                <w:b/>
                <w:bCs/>
                <w:sz w:val="26"/>
                <w:szCs w:val="26"/>
                <w:lang w:val="nl-NL"/>
              </w:rPr>
            </w:pPr>
          </w:p>
        </w:tc>
        <w:tc>
          <w:tcPr>
            <w:tcW w:w="5812" w:type="dxa"/>
            <w:hideMark/>
          </w:tcPr>
          <w:p w:rsidR="006F4FB0" w:rsidRDefault="006F4FB0">
            <w:pPr>
              <w:widowControl w:val="0"/>
              <w:jc w:val="center"/>
              <w:rPr>
                <w:b/>
                <w:bCs/>
                <w:szCs w:val="28"/>
                <w:lang w:val="nl-NL"/>
              </w:rPr>
            </w:pPr>
            <w:r>
              <w:rPr>
                <w:b/>
                <w:bCs/>
                <w:szCs w:val="28"/>
                <w:lang w:val="nl-NL"/>
              </w:rPr>
              <w:t xml:space="preserve">Độc lập </w:t>
            </w:r>
            <w:r>
              <w:rPr>
                <w:bCs/>
                <w:szCs w:val="28"/>
                <w:lang w:val="nl-NL"/>
              </w:rPr>
              <w:t>–</w:t>
            </w:r>
            <w:r>
              <w:rPr>
                <w:b/>
                <w:bCs/>
                <w:szCs w:val="28"/>
                <w:lang w:val="nl-NL"/>
              </w:rPr>
              <w:t xml:space="preserve"> Tự do </w:t>
            </w:r>
            <w:r>
              <w:rPr>
                <w:bCs/>
                <w:szCs w:val="28"/>
                <w:lang w:val="nl-NL"/>
              </w:rPr>
              <w:t>–</w:t>
            </w:r>
            <w:r>
              <w:rPr>
                <w:b/>
                <w:bCs/>
                <w:szCs w:val="28"/>
                <w:lang w:val="nl-NL"/>
              </w:rPr>
              <w:t xml:space="preserve"> Hạnh phúc</w:t>
            </w:r>
          </w:p>
        </w:tc>
      </w:tr>
      <w:tr w:rsidR="006F4FB0" w:rsidTr="006F4FB0">
        <w:tc>
          <w:tcPr>
            <w:tcW w:w="3085" w:type="dxa"/>
          </w:tcPr>
          <w:p w:rsidR="006F4FB0" w:rsidRDefault="006F4FB0">
            <w:pPr>
              <w:widowControl w:val="0"/>
              <w:jc w:val="center"/>
              <w:rPr>
                <w:sz w:val="26"/>
                <w:szCs w:val="26"/>
                <w:lang w:val="nl-NL"/>
              </w:rPr>
            </w:pPr>
          </w:p>
        </w:tc>
        <w:tc>
          <w:tcPr>
            <w:tcW w:w="567" w:type="dxa"/>
          </w:tcPr>
          <w:p w:rsidR="006F4FB0" w:rsidRDefault="006F4FB0">
            <w:pPr>
              <w:widowControl w:val="0"/>
              <w:jc w:val="center"/>
              <w:rPr>
                <w:sz w:val="26"/>
                <w:szCs w:val="26"/>
                <w:lang w:val="nl-NL"/>
              </w:rPr>
            </w:pPr>
          </w:p>
        </w:tc>
        <w:tc>
          <w:tcPr>
            <w:tcW w:w="5812" w:type="dxa"/>
            <w:hideMark/>
          </w:tcPr>
          <w:p w:rsidR="006F4FB0" w:rsidRDefault="006F4FB0">
            <w:pPr>
              <w:widowControl w:val="0"/>
              <w:jc w:val="center"/>
              <w:rPr>
                <w:sz w:val="26"/>
                <w:szCs w:val="26"/>
                <w:lang w:val="nl-NL"/>
              </w:rPr>
            </w:pPr>
            <w:r>
              <w:rPr>
                <w:bCs/>
                <w:sz w:val="26"/>
                <w:szCs w:val="26"/>
                <w:lang w:val="nl-NL"/>
              </w:rPr>
              <w:t>––––––––––––––––––––––––––</w:t>
            </w:r>
          </w:p>
        </w:tc>
      </w:tr>
      <w:tr w:rsidR="006F4FB0" w:rsidTr="006F4FB0">
        <w:tc>
          <w:tcPr>
            <w:tcW w:w="3085" w:type="dxa"/>
            <w:hideMark/>
          </w:tcPr>
          <w:p w:rsidR="006F4FB0" w:rsidRDefault="006F4FB0">
            <w:pPr>
              <w:widowControl w:val="0"/>
              <w:jc w:val="center"/>
              <w:rPr>
                <w:sz w:val="26"/>
                <w:szCs w:val="26"/>
                <w:lang w:val="nl-NL"/>
              </w:rPr>
            </w:pPr>
            <w:r>
              <w:rPr>
                <w:sz w:val="26"/>
                <w:szCs w:val="26"/>
                <w:lang w:val="nl-NL"/>
              </w:rPr>
              <w:t xml:space="preserve">Số: </w:t>
            </w:r>
            <w:r>
              <w:rPr>
                <w:b/>
                <w:sz w:val="26"/>
                <w:szCs w:val="26"/>
                <w:lang w:val="nl-NL"/>
              </w:rPr>
              <w:t xml:space="preserve">         </w:t>
            </w:r>
            <w:r>
              <w:rPr>
                <w:sz w:val="26"/>
                <w:szCs w:val="26"/>
                <w:lang w:val="nl-NL"/>
              </w:rPr>
              <w:t>/BTC-TCT</w:t>
            </w:r>
          </w:p>
        </w:tc>
        <w:tc>
          <w:tcPr>
            <w:tcW w:w="567" w:type="dxa"/>
          </w:tcPr>
          <w:p w:rsidR="006F4FB0" w:rsidRDefault="006F4FB0">
            <w:pPr>
              <w:widowControl w:val="0"/>
              <w:jc w:val="center"/>
              <w:rPr>
                <w:sz w:val="26"/>
                <w:szCs w:val="26"/>
                <w:lang w:val="nl-NL"/>
              </w:rPr>
            </w:pPr>
          </w:p>
        </w:tc>
        <w:tc>
          <w:tcPr>
            <w:tcW w:w="5812" w:type="dxa"/>
            <w:hideMark/>
          </w:tcPr>
          <w:p w:rsidR="006F4FB0" w:rsidRDefault="006C44A8" w:rsidP="006F4FB0">
            <w:pPr>
              <w:pStyle w:val="Heading7"/>
              <w:keepNext w:val="0"/>
              <w:widowControl w:val="0"/>
              <w:rPr>
                <w:rFonts w:ascii="Times New Roman" w:hAnsi="Times New Roman"/>
                <w:sz w:val="28"/>
                <w:lang w:val="nl-NL" w:eastAsia="en-US"/>
              </w:rPr>
            </w:pPr>
            <w:r>
              <w:rPr>
                <w:rFonts w:ascii="Times New Roman" w:hAnsi="Times New Roman"/>
                <w:sz w:val="28"/>
                <w:lang w:val="nl-NL" w:eastAsia="en-US"/>
              </w:rPr>
              <w:t xml:space="preserve">  </w:t>
            </w:r>
            <w:r w:rsidR="006F4FB0">
              <w:rPr>
                <w:rFonts w:ascii="Times New Roman" w:hAnsi="Times New Roman"/>
                <w:sz w:val="28"/>
                <w:lang w:val="nl-NL" w:eastAsia="en-US"/>
              </w:rPr>
              <w:t>Hà Nội, ngày        tháng      năm 2020</w:t>
            </w:r>
          </w:p>
        </w:tc>
      </w:tr>
      <w:tr w:rsidR="006F4FB0" w:rsidTr="006F4FB0">
        <w:tc>
          <w:tcPr>
            <w:tcW w:w="3085" w:type="dxa"/>
            <w:hideMark/>
          </w:tcPr>
          <w:p w:rsidR="006F4FB0" w:rsidRDefault="006C44A8" w:rsidP="006F4FB0">
            <w:pPr>
              <w:widowControl w:val="0"/>
              <w:spacing w:before="120"/>
              <w:jc w:val="both"/>
              <w:rPr>
                <w:sz w:val="24"/>
                <w:szCs w:val="24"/>
                <w:lang w:val="nl-NL"/>
              </w:rPr>
            </w:pPr>
            <w:r>
              <w:rPr>
                <w:sz w:val="24"/>
                <w:szCs w:val="24"/>
                <w:lang w:val="nl-NL"/>
              </w:rPr>
              <w:t xml:space="preserve">  </w:t>
            </w:r>
            <w:r w:rsidR="006F4FB0">
              <w:rPr>
                <w:sz w:val="24"/>
                <w:szCs w:val="24"/>
                <w:lang w:val="nl-NL"/>
              </w:rPr>
              <w:t>V/v xin ý kiến thẩm định dự thảo Nghị định quy định xử phạt vi phạm hành chính về thuế, hóa đơn.</w:t>
            </w:r>
          </w:p>
        </w:tc>
        <w:tc>
          <w:tcPr>
            <w:tcW w:w="567" w:type="dxa"/>
          </w:tcPr>
          <w:p w:rsidR="006F4FB0" w:rsidRDefault="006F4FB0">
            <w:pPr>
              <w:widowControl w:val="0"/>
              <w:jc w:val="center"/>
              <w:rPr>
                <w:sz w:val="26"/>
                <w:szCs w:val="26"/>
                <w:lang w:val="nl-NL"/>
              </w:rPr>
            </w:pPr>
          </w:p>
        </w:tc>
        <w:tc>
          <w:tcPr>
            <w:tcW w:w="5812" w:type="dxa"/>
          </w:tcPr>
          <w:p w:rsidR="006F4FB0" w:rsidRDefault="006F4FB0">
            <w:pPr>
              <w:pStyle w:val="Heading7"/>
              <w:keepNext w:val="0"/>
              <w:widowControl w:val="0"/>
              <w:rPr>
                <w:rFonts w:ascii="Times New Roman" w:hAnsi="Times New Roman"/>
                <w:sz w:val="26"/>
                <w:szCs w:val="26"/>
                <w:lang w:val="nl-NL" w:eastAsia="en-US"/>
              </w:rPr>
            </w:pPr>
          </w:p>
        </w:tc>
      </w:tr>
    </w:tbl>
    <w:p w:rsidR="006F4FB0" w:rsidRDefault="006F4FB0" w:rsidP="006F4FB0">
      <w:pPr>
        <w:jc w:val="left"/>
        <w:rPr>
          <w:vanish/>
          <w:szCs w:val="28"/>
        </w:rPr>
      </w:pPr>
    </w:p>
    <w:p w:rsidR="006F4FB0" w:rsidRDefault="006F4FB0" w:rsidP="006F4FB0">
      <w:pPr>
        <w:widowControl w:val="0"/>
        <w:rPr>
          <w:b/>
          <w:szCs w:val="28"/>
        </w:rPr>
      </w:pPr>
    </w:p>
    <w:p w:rsidR="006F4FB0" w:rsidRDefault="006F4FB0" w:rsidP="006F4FB0">
      <w:pPr>
        <w:widowControl w:val="0"/>
        <w:spacing w:before="120"/>
        <w:jc w:val="center"/>
        <w:rPr>
          <w:szCs w:val="28"/>
        </w:rPr>
      </w:pPr>
      <w:r>
        <w:rPr>
          <w:szCs w:val="28"/>
        </w:rPr>
        <w:t>Kính gửi: Bộ Tư pháp</w:t>
      </w:r>
    </w:p>
    <w:p w:rsidR="006F4FB0" w:rsidRDefault="006F4FB0" w:rsidP="006F4FB0">
      <w:pPr>
        <w:widowControl w:val="0"/>
        <w:ind w:firstLine="720"/>
        <w:jc w:val="both"/>
        <w:rPr>
          <w:szCs w:val="28"/>
        </w:rPr>
      </w:pPr>
    </w:p>
    <w:p w:rsidR="006F4FB0" w:rsidRDefault="006F4FB0" w:rsidP="006F4FB0">
      <w:pPr>
        <w:widowControl w:val="0"/>
        <w:spacing w:before="180"/>
        <w:ind w:firstLine="567"/>
        <w:jc w:val="both"/>
        <w:rPr>
          <w:szCs w:val="28"/>
          <w:lang w:val="nl-NL"/>
        </w:rPr>
      </w:pPr>
      <w:r>
        <w:rPr>
          <w:szCs w:val="28"/>
          <w:lang w:val="nl-NL"/>
        </w:rPr>
        <w:t xml:space="preserve">Ngày 13 </w:t>
      </w:r>
      <w:r>
        <w:rPr>
          <w:szCs w:val="28"/>
        </w:rPr>
        <w:t>tháng</w:t>
      </w:r>
      <w:r>
        <w:rPr>
          <w:szCs w:val="28"/>
          <w:lang w:val="nl-NL"/>
        </w:rPr>
        <w:t xml:space="preserve"> 06 năm 2019, Quốc hội khoá XIV đã thông qua Luậ</w:t>
      </w:r>
      <w:r w:rsidR="006C44A8">
        <w:rPr>
          <w:szCs w:val="28"/>
          <w:lang w:val="nl-NL"/>
        </w:rPr>
        <w:t>t Q</w:t>
      </w:r>
      <w:r>
        <w:rPr>
          <w:szCs w:val="28"/>
          <w:lang w:val="nl-NL"/>
        </w:rPr>
        <w:t>uản lý thuế số 38/2019/QH14 với hiệu lực thi hành kể từ ngày 01 tháng 7 năm 2020.</w:t>
      </w:r>
    </w:p>
    <w:p w:rsidR="006F4FB0" w:rsidRDefault="006F4FB0" w:rsidP="006F4FB0">
      <w:pPr>
        <w:widowControl w:val="0"/>
        <w:spacing w:before="180"/>
        <w:ind w:firstLine="567"/>
        <w:jc w:val="both"/>
        <w:rPr>
          <w:szCs w:val="28"/>
        </w:rPr>
      </w:pPr>
      <w:r>
        <w:rPr>
          <w:szCs w:val="28"/>
        </w:rPr>
        <w:t xml:space="preserve">Ngày 26 tháng 7 năm 2019, Thủ tướng Chính phủ có Quyết định số 936/QĐ-TTg về việc ban hành danh mục và phân công cơ quan chủ trì soạn thảo văn bản quy định chi tiết thi hành các Luật được Quốc hội thông qua tại Kỳ họp thứ 7. Theo đó, Bộ Tài chính </w:t>
      </w:r>
      <w:r>
        <w:rPr>
          <w:szCs w:val="28"/>
          <w:lang w:val="nl-NL"/>
        </w:rPr>
        <w:t>được</w:t>
      </w:r>
      <w:r>
        <w:rPr>
          <w:szCs w:val="28"/>
        </w:rPr>
        <w:t xml:space="preserve"> giao chủ trì xây dựng Nghị định quy định xử phạt vi phạm hành chính về thuế, hóa đơn.</w:t>
      </w:r>
    </w:p>
    <w:p w:rsidR="006F4FB0" w:rsidRDefault="006F4FB0" w:rsidP="006F4FB0">
      <w:pPr>
        <w:widowControl w:val="0"/>
        <w:spacing w:before="180"/>
        <w:ind w:firstLine="567"/>
        <w:jc w:val="both"/>
        <w:rPr>
          <w:szCs w:val="28"/>
        </w:rPr>
      </w:pPr>
      <w:r>
        <w:rPr>
          <w:szCs w:val="28"/>
        </w:rPr>
        <w:t xml:space="preserve">Bộ Tài chính đã </w:t>
      </w:r>
      <w:r>
        <w:rPr>
          <w:szCs w:val="28"/>
          <w:lang w:val="vi-VN"/>
        </w:rPr>
        <w:t>thành lập Ban soạn thảo</w:t>
      </w:r>
      <w:r>
        <w:rPr>
          <w:szCs w:val="28"/>
        </w:rPr>
        <w:t xml:space="preserve">, Tổ Biên tập </w:t>
      </w:r>
      <w:r>
        <w:rPr>
          <w:szCs w:val="28"/>
          <w:lang w:val="vi-VN"/>
        </w:rPr>
        <w:t xml:space="preserve">xây dựng dự </w:t>
      </w:r>
      <w:r>
        <w:rPr>
          <w:szCs w:val="28"/>
        </w:rPr>
        <w:t>thảo</w:t>
      </w:r>
      <w:r>
        <w:rPr>
          <w:szCs w:val="28"/>
          <w:lang w:val="vi-VN"/>
        </w:rPr>
        <w:t xml:space="preserve"> </w:t>
      </w:r>
      <w:r>
        <w:rPr>
          <w:szCs w:val="28"/>
        </w:rPr>
        <w:t>N</w:t>
      </w:r>
      <w:r>
        <w:rPr>
          <w:szCs w:val="28"/>
          <w:lang w:val="vi-VN"/>
        </w:rPr>
        <w:t>ghị định</w:t>
      </w:r>
      <w:r>
        <w:rPr>
          <w:szCs w:val="28"/>
        </w:rPr>
        <w:t xml:space="preserve"> quy định xử phạt vi phạm hành chính về thuế, hóa đơn. </w:t>
      </w:r>
      <w:r>
        <w:rPr>
          <w:szCs w:val="28"/>
          <w:lang w:val="vi-VN"/>
        </w:rPr>
        <w:t>Tổ chức</w:t>
      </w:r>
      <w:r>
        <w:rPr>
          <w:szCs w:val="28"/>
        </w:rPr>
        <w:t xml:space="preserve"> họp Ban soạn thảo,</w:t>
      </w:r>
      <w:r>
        <w:rPr>
          <w:szCs w:val="28"/>
          <w:lang w:val="vi-VN"/>
        </w:rPr>
        <w:t xml:space="preserve"> lấy ý kiến góp ý về dự thảo</w:t>
      </w:r>
      <w:r>
        <w:rPr>
          <w:szCs w:val="28"/>
        </w:rPr>
        <w:t xml:space="preserve"> Nghị định,</w:t>
      </w:r>
      <w:r>
        <w:rPr>
          <w:szCs w:val="28"/>
          <w:lang w:val="vi-VN"/>
        </w:rPr>
        <w:t xml:space="preserve"> đăng tải trên Cổng thông tin điện tử của Chính phủ</w:t>
      </w:r>
      <w:r w:rsidR="006C44A8">
        <w:rPr>
          <w:szCs w:val="28"/>
          <w:lang w:val="vi-VN"/>
        </w:rPr>
        <w:t xml:space="preserve"> và </w:t>
      </w:r>
      <w:r w:rsidR="006C44A8">
        <w:rPr>
          <w:szCs w:val="28"/>
        </w:rPr>
        <w:t>C</w:t>
      </w:r>
      <w:r>
        <w:rPr>
          <w:szCs w:val="28"/>
          <w:lang w:val="vi-VN"/>
        </w:rPr>
        <w:t>ổng thông tin điện tử của</w:t>
      </w:r>
      <w:r>
        <w:rPr>
          <w:szCs w:val="28"/>
        </w:rPr>
        <w:t xml:space="preserve"> Bộ Tài chính</w:t>
      </w:r>
      <w:r>
        <w:rPr>
          <w:szCs w:val="28"/>
          <w:lang w:val="vi-VN"/>
        </w:rPr>
        <w:t xml:space="preserve"> </w:t>
      </w:r>
      <w:r>
        <w:rPr>
          <w:szCs w:val="28"/>
        </w:rPr>
        <w:t xml:space="preserve">theo đúng </w:t>
      </w:r>
      <w:r>
        <w:rPr>
          <w:bCs/>
          <w:szCs w:val="28"/>
          <w:lang w:val="nl-NL"/>
        </w:rPr>
        <w:t>quy định</w:t>
      </w:r>
      <w:r>
        <w:rPr>
          <w:szCs w:val="28"/>
          <w:lang w:val="nl-NL"/>
        </w:rPr>
        <w:t xml:space="preserve"> </w:t>
      </w:r>
      <w:r>
        <w:rPr>
          <w:iCs/>
          <w:szCs w:val="28"/>
          <w:lang w:val="nl-NL"/>
        </w:rPr>
        <w:t>của</w:t>
      </w:r>
      <w:r>
        <w:rPr>
          <w:szCs w:val="28"/>
          <w:lang w:val="nl-NL"/>
        </w:rPr>
        <w:t xml:space="preserve"> </w:t>
      </w:r>
      <w:r>
        <w:rPr>
          <w:bCs/>
          <w:szCs w:val="28"/>
          <w:lang w:val="nl-NL"/>
        </w:rPr>
        <w:t>Luật</w:t>
      </w:r>
      <w:r>
        <w:rPr>
          <w:szCs w:val="28"/>
        </w:rPr>
        <w:t xml:space="preserve"> </w:t>
      </w:r>
      <w:r w:rsidR="006C44A8">
        <w:rPr>
          <w:szCs w:val="28"/>
        </w:rPr>
        <w:t>B</w:t>
      </w:r>
      <w:r>
        <w:rPr>
          <w:szCs w:val="28"/>
        </w:rPr>
        <w:t xml:space="preserve">an hành </w:t>
      </w:r>
      <w:r>
        <w:rPr>
          <w:szCs w:val="28"/>
          <w:lang w:val="nl-NL"/>
        </w:rPr>
        <w:t>văn bản</w:t>
      </w:r>
      <w:r>
        <w:rPr>
          <w:szCs w:val="28"/>
        </w:rPr>
        <w:t xml:space="preserve"> quy phạm pháp luật và các </w:t>
      </w:r>
      <w:r>
        <w:rPr>
          <w:szCs w:val="28"/>
          <w:lang w:val="nl-NL"/>
        </w:rPr>
        <w:t xml:space="preserve">văn bản </w:t>
      </w:r>
      <w:r>
        <w:rPr>
          <w:bCs/>
          <w:szCs w:val="28"/>
          <w:lang w:val="nl-NL"/>
        </w:rPr>
        <w:t>hướng dẫn</w:t>
      </w:r>
      <w:r>
        <w:rPr>
          <w:szCs w:val="28"/>
        </w:rPr>
        <w:t xml:space="preserve"> thi hành</w:t>
      </w:r>
      <w:r>
        <w:rPr>
          <w:szCs w:val="28"/>
          <w:lang w:val="vi-VN"/>
        </w:rPr>
        <w:t>.</w:t>
      </w:r>
    </w:p>
    <w:p w:rsidR="006F4FB0" w:rsidRDefault="006F4FB0" w:rsidP="006F4FB0">
      <w:pPr>
        <w:widowControl w:val="0"/>
        <w:spacing w:before="180"/>
        <w:ind w:firstLine="567"/>
        <w:jc w:val="both"/>
        <w:rPr>
          <w:szCs w:val="28"/>
        </w:rPr>
      </w:pPr>
      <w:r>
        <w:rPr>
          <w:szCs w:val="28"/>
        </w:rPr>
        <w:t xml:space="preserve">Dự thảo Nghị định đã </w:t>
      </w:r>
      <w:r>
        <w:rPr>
          <w:szCs w:val="28"/>
          <w:lang w:val="nl-NL"/>
        </w:rPr>
        <w:t>được</w:t>
      </w:r>
      <w:r>
        <w:rPr>
          <w:szCs w:val="28"/>
        </w:rPr>
        <w:t xml:space="preserve"> chỉnh lý trên </w:t>
      </w:r>
      <w:r>
        <w:rPr>
          <w:szCs w:val="28"/>
          <w:lang w:val="nl-NL"/>
        </w:rPr>
        <w:t>cơ sở</w:t>
      </w:r>
      <w:r>
        <w:rPr>
          <w:szCs w:val="28"/>
        </w:rPr>
        <w:t xml:space="preserve"> nghiên cứu tiếp thu ý kiến đóng góp </w:t>
      </w:r>
      <w:r>
        <w:rPr>
          <w:iCs/>
          <w:szCs w:val="28"/>
          <w:lang w:val="nl-NL"/>
        </w:rPr>
        <w:t>của</w:t>
      </w:r>
      <w:r>
        <w:rPr>
          <w:szCs w:val="28"/>
        </w:rPr>
        <w:t xml:space="preserve"> các Bộ, cơ quan ngang Bộ, </w:t>
      </w:r>
      <w:r>
        <w:rPr>
          <w:szCs w:val="28"/>
          <w:lang w:val="nl-NL"/>
        </w:rPr>
        <w:t>Ủy ban nhân dân</w:t>
      </w:r>
      <w:r>
        <w:rPr>
          <w:szCs w:val="28"/>
        </w:rPr>
        <w:t xml:space="preserve"> các </w:t>
      </w:r>
      <w:r>
        <w:rPr>
          <w:szCs w:val="28"/>
          <w:lang w:val="nl-NL"/>
        </w:rPr>
        <w:t>tỉnh, thành phố trực thuộc Trung ương</w:t>
      </w:r>
      <w:r>
        <w:rPr>
          <w:szCs w:val="28"/>
        </w:rPr>
        <w:t xml:space="preserve"> và </w:t>
      </w:r>
      <w:r>
        <w:rPr>
          <w:iCs/>
          <w:szCs w:val="28"/>
          <w:lang w:val="nl-NL"/>
        </w:rPr>
        <w:t>của</w:t>
      </w:r>
      <w:r>
        <w:rPr>
          <w:szCs w:val="28"/>
        </w:rPr>
        <w:t xml:space="preserve"> các </w:t>
      </w:r>
      <w:r>
        <w:rPr>
          <w:rFonts w:eastAsia="Times New Roman"/>
          <w:szCs w:val="28"/>
        </w:rPr>
        <w:t>tổ chức</w:t>
      </w:r>
      <w:r>
        <w:rPr>
          <w:szCs w:val="28"/>
        </w:rPr>
        <w:t>, cá nhân.</w:t>
      </w:r>
    </w:p>
    <w:p w:rsidR="006F4FB0" w:rsidRDefault="006F4FB0" w:rsidP="006F4FB0">
      <w:pPr>
        <w:widowControl w:val="0"/>
        <w:spacing w:before="180"/>
        <w:ind w:firstLine="567"/>
        <w:jc w:val="both"/>
        <w:rPr>
          <w:bCs/>
          <w:szCs w:val="28"/>
          <w:lang w:val="nl-NL"/>
        </w:rPr>
      </w:pPr>
      <w:r>
        <w:rPr>
          <w:szCs w:val="28"/>
        </w:rPr>
        <w:t xml:space="preserve">Căn cứ </w:t>
      </w:r>
      <w:r>
        <w:rPr>
          <w:bCs/>
          <w:szCs w:val="28"/>
          <w:lang w:val="nl-NL"/>
        </w:rPr>
        <w:t>quy định</w:t>
      </w:r>
      <w:r>
        <w:rPr>
          <w:szCs w:val="28"/>
          <w:lang w:val="nl-NL"/>
        </w:rPr>
        <w:t xml:space="preserve"> </w:t>
      </w:r>
      <w:r>
        <w:rPr>
          <w:iCs/>
          <w:szCs w:val="28"/>
          <w:lang w:val="nl-NL"/>
        </w:rPr>
        <w:t>của</w:t>
      </w:r>
      <w:r>
        <w:rPr>
          <w:szCs w:val="28"/>
          <w:lang w:val="nl-NL"/>
        </w:rPr>
        <w:t xml:space="preserve"> </w:t>
      </w:r>
      <w:r>
        <w:rPr>
          <w:bCs/>
          <w:szCs w:val="28"/>
          <w:lang w:val="nl-NL"/>
        </w:rPr>
        <w:t>Luật</w:t>
      </w:r>
      <w:r>
        <w:rPr>
          <w:szCs w:val="28"/>
        </w:rPr>
        <w:t xml:space="preserve"> Ban hành </w:t>
      </w:r>
      <w:r>
        <w:rPr>
          <w:szCs w:val="28"/>
          <w:lang w:val="nl-NL"/>
        </w:rPr>
        <w:t>văn bản</w:t>
      </w:r>
      <w:r>
        <w:rPr>
          <w:szCs w:val="28"/>
        </w:rPr>
        <w:t xml:space="preserve"> quy phạm pháp luật và Nghị định số 34/2016/NĐ-CP ngày 14/5/2016 </w:t>
      </w:r>
      <w:r>
        <w:rPr>
          <w:iCs/>
          <w:szCs w:val="28"/>
          <w:lang w:val="nl-NL"/>
        </w:rPr>
        <w:t>của</w:t>
      </w:r>
      <w:r>
        <w:rPr>
          <w:szCs w:val="28"/>
          <w:lang w:val="nl-NL"/>
        </w:rPr>
        <w:t xml:space="preserve"> </w:t>
      </w:r>
      <w:r>
        <w:rPr>
          <w:bCs/>
          <w:szCs w:val="28"/>
          <w:lang w:val="nl-NL"/>
        </w:rPr>
        <w:t>Chính phủ</w:t>
      </w:r>
      <w:r>
        <w:rPr>
          <w:szCs w:val="28"/>
          <w:lang w:val="nl-NL"/>
        </w:rPr>
        <w:t xml:space="preserve"> </w:t>
      </w:r>
      <w:r>
        <w:rPr>
          <w:bCs/>
          <w:szCs w:val="28"/>
          <w:lang w:val="nl-NL"/>
        </w:rPr>
        <w:t>quy định</w:t>
      </w:r>
      <w:r>
        <w:rPr>
          <w:szCs w:val="28"/>
        </w:rPr>
        <w:t xml:space="preserve"> chi tiết thi hành một số điều và </w:t>
      </w:r>
      <w:r>
        <w:rPr>
          <w:szCs w:val="28"/>
          <w:lang w:val="nl-NL"/>
        </w:rPr>
        <w:t>biện pháp</w:t>
      </w:r>
      <w:r>
        <w:rPr>
          <w:szCs w:val="28"/>
        </w:rPr>
        <w:t xml:space="preserve"> thi hành </w:t>
      </w:r>
      <w:r>
        <w:rPr>
          <w:bCs/>
          <w:szCs w:val="28"/>
          <w:lang w:val="nl-NL"/>
        </w:rPr>
        <w:t>Luật</w:t>
      </w:r>
      <w:r>
        <w:rPr>
          <w:szCs w:val="28"/>
        </w:rPr>
        <w:t xml:space="preserve"> Ban hành </w:t>
      </w:r>
      <w:r>
        <w:rPr>
          <w:szCs w:val="28"/>
          <w:lang w:val="nl-NL"/>
        </w:rPr>
        <w:t>văn bản</w:t>
      </w:r>
      <w:r>
        <w:rPr>
          <w:szCs w:val="28"/>
        </w:rPr>
        <w:t xml:space="preserve"> quy phạm pháp luật, Bộ Tài chính xin gửi tới quý Bộ </w:t>
      </w:r>
      <w:r w:rsidR="006C44A8">
        <w:rPr>
          <w:szCs w:val="28"/>
        </w:rPr>
        <w:t xml:space="preserve">hồ sơ </w:t>
      </w:r>
      <w:r>
        <w:rPr>
          <w:szCs w:val="28"/>
        </w:rPr>
        <w:t xml:space="preserve">dự </w:t>
      </w:r>
      <w:r w:rsidR="006C44A8">
        <w:rPr>
          <w:szCs w:val="28"/>
        </w:rPr>
        <w:t>thảo</w:t>
      </w:r>
      <w:r>
        <w:rPr>
          <w:szCs w:val="28"/>
        </w:rPr>
        <w:t xml:space="preserve"> Nghị định </w:t>
      </w:r>
      <w:r w:rsidR="006C44A8">
        <w:rPr>
          <w:szCs w:val="28"/>
        </w:rPr>
        <w:t xml:space="preserve">xử phạt vi phạm hành chính về thuế, hóa đơn </w:t>
      </w:r>
      <w:r>
        <w:rPr>
          <w:szCs w:val="28"/>
        </w:rPr>
        <w:t xml:space="preserve">để quý Bộ thẩm định theo </w:t>
      </w:r>
      <w:r>
        <w:rPr>
          <w:bCs/>
          <w:szCs w:val="28"/>
          <w:lang w:val="nl-NL"/>
        </w:rPr>
        <w:t>quy định.</w:t>
      </w:r>
    </w:p>
    <w:p w:rsidR="006F4FB0" w:rsidRPr="006F4FB0" w:rsidRDefault="006F4FB0" w:rsidP="006F4FB0">
      <w:pPr>
        <w:widowControl w:val="0"/>
        <w:spacing w:before="180"/>
        <w:ind w:firstLine="567"/>
        <w:jc w:val="both"/>
        <w:rPr>
          <w:bCs/>
          <w:szCs w:val="28"/>
          <w:u w:val="single"/>
          <w:lang w:val="nl-NL"/>
        </w:rPr>
      </w:pPr>
      <w:r w:rsidRPr="006F4FB0">
        <w:rPr>
          <w:bCs/>
          <w:szCs w:val="28"/>
          <w:u w:val="single"/>
          <w:lang w:val="nl-NL"/>
        </w:rPr>
        <w:t>Hồ sơ thẩm định kèm theo gồm:</w:t>
      </w:r>
    </w:p>
    <w:p w:rsidR="006F4FB0" w:rsidRPr="006F4FB0" w:rsidRDefault="006F4FB0" w:rsidP="006F4FB0">
      <w:pPr>
        <w:pStyle w:val="NormalWeb"/>
        <w:numPr>
          <w:ilvl w:val="0"/>
          <w:numId w:val="2"/>
        </w:numPr>
        <w:shd w:val="clear" w:color="auto" w:fill="FFFFFF"/>
        <w:tabs>
          <w:tab w:val="left" w:pos="851"/>
          <w:tab w:val="left" w:pos="993"/>
        </w:tabs>
        <w:spacing w:before="120" w:beforeAutospacing="0" w:after="120" w:afterAutospacing="0" w:line="234" w:lineRule="atLeast"/>
        <w:ind w:left="0" w:firstLine="567"/>
        <w:rPr>
          <w:i/>
          <w:color w:val="000000"/>
          <w:sz w:val="28"/>
          <w:szCs w:val="28"/>
        </w:rPr>
      </w:pPr>
      <w:r w:rsidRPr="006F4FB0">
        <w:rPr>
          <w:i/>
          <w:color w:val="000000"/>
          <w:sz w:val="28"/>
          <w:szCs w:val="28"/>
        </w:rPr>
        <w:t>Tờ trình Chính phủ về dự thảo Nghị định;</w:t>
      </w:r>
    </w:p>
    <w:p w:rsidR="006F4FB0" w:rsidRPr="006F4FB0" w:rsidRDefault="006F4FB0" w:rsidP="006F4FB0">
      <w:pPr>
        <w:pStyle w:val="NormalWeb"/>
        <w:numPr>
          <w:ilvl w:val="0"/>
          <w:numId w:val="2"/>
        </w:numPr>
        <w:shd w:val="clear" w:color="auto" w:fill="FFFFFF"/>
        <w:tabs>
          <w:tab w:val="left" w:pos="851"/>
          <w:tab w:val="left" w:pos="993"/>
        </w:tabs>
        <w:spacing w:before="120" w:beforeAutospacing="0" w:after="120" w:afterAutospacing="0" w:line="234" w:lineRule="atLeast"/>
        <w:ind w:left="0" w:firstLine="567"/>
        <w:rPr>
          <w:i/>
          <w:color w:val="000000"/>
          <w:sz w:val="28"/>
          <w:szCs w:val="28"/>
        </w:rPr>
      </w:pPr>
      <w:r w:rsidRPr="006F4FB0">
        <w:rPr>
          <w:i/>
          <w:color w:val="000000"/>
          <w:sz w:val="28"/>
          <w:szCs w:val="28"/>
        </w:rPr>
        <w:t>Dự thảo Nghị định</w:t>
      </w:r>
      <w:r w:rsidR="006C44A8">
        <w:rPr>
          <w:i/>
          <w:color w:val="000000"/>
          <w:sz w:val="28"/>
          <w:szCs w:val="28"/>
        </w:rPr>
        <w:t xml:space="preserve"> </w:t>
      </w:r>
      <w:r w:rsidR="006C44A8" w:rsidRPr="006C44A8">
        <w:rPr>
          <w:i/>
          <w:sz w:val="28"/>
          <w:szCs w:val="28"/>
        </w:rPr>
        <w:t>xử phạt vi p</w:t>
      </w:r>
      <w:r w:rsidR="006C44A8">
        <w:rPr>
          <w:i/>
          <w:sz w:val="28"/>
          <w:szCs w:val="28"/>
        </w:rPr>
        <w:t>hạm hành chính về thuế, hóa đơn</w:t>
      </w:r>
      <w:r w:rsidRPr="006C44A8">
        <w:rPr>
          <w:i/>
          <w:color w:val="000000"/>
          <w:sz w:val="28"/>
          <w:szCs w:val="28"/>
        </w:rPr>
        <w:t>;</w:t>
      </w:r>
    </w:p>
    <w:p w:rsidR="006F4FB0" w:rsidRPr="006F4FB0" w:rsidRDefault="006F4FB0" w:rsidP="006F4FB0">
      <w:pPr>
        <w:pStyle w:val="NormalWeb"/>
        <w:numPr>
          <w:ilvl w:val="0"/>
          <w:numId w:val="2"/>
        </w:numPr>
        <w:shd w:val="clear" w:color="auto" w:fill="FFFFFF"/>
        <w:tabs>
          <w:tab w:val="left" w:pos="851"/>
          <w:tab w:val="left" w:pos="993"/>
        </w:tabs>
        <w:spacing w:before="120" w:beforeAutospacing="0" w:after="120" w:afterAutospacing="0" w:line="234" w:lineRule="atLeast"/>
        <w:ind w:left="0" w:firstLine="567"/>
        <w:jc w:val="both"/>
        <w:rPr>
          <w:i/>
          <w:color w:val="000000"/>
          <w:sz w:val="28"/>
          <w:szCs w:val="28"/>
        </w:rPr>
      </w:pPr>
      <w:r w:rsidRPr="006F4FB0">
        <w:rPr>
          <w:i/>
          <w:color w:val="000000"/>
          <w:sz w:val="28"/>
          <w:szCs w:val="28"/>
        </w:rPr>
        <w:t xml:space="preserve"> Báo cáo tổng hợp, giải trình, tiếp thu ý kiến </w:t>
      </w:r>
      <w:r>
        <w:rPr>
          <w:i/>
          <w:color w:val="000000"/>
          <w:sz w:val="28"/>
          <w:szCs w:val="28"/>
        </w:rPr>
        <w:t>về dự thảo Nghị định</w:t>
      </w:r>
      <w:r w:rsidRPr="006F4FB0">
        <w:rPr>
          <w:i/>
          <w:color w:val="000000"/>
          <w:sz w:val="28"/>
          <w:szCs w:val="28"/>
        </w:rPr>
        <w:t>; bản chụp ý kiến của bộ, cơ quan ngang bộ, cơ quan thuộc Chính phủ;</w:t>
      </w:r>
    </w:p>
    <w:p w:rsidR="006F4FB0" w:rsidRPr="006F4FB0" w:rsidRDefault="006F4FB0" w:rsidP="006C44A8">
      <w:pPr>
        <w:pStyle w:val="NormalWeb"/>
        <w:numPr>
          <w:ilvl w:val="0"/>
          <w:numId w:val="2"/>
        </w:numPr>
        <w:shd w:val="clear" w:color="auto" w:fill="FFFFFF"/>
        <w:tabs>
          <w:tab w:val="left" w:pos="851"/>
          <w:tab w:val="left" w:pos="993"/>
        </w:tabs>
        <w:spacing w:before="120" w:beforeAutospacing="0" w:after="120" w:afterAutospacing="0" w:line="234" w:lineRule="atLeast"/>
        <w:ind w:left="0" w:firstLine="567"/>
        <w:jc w:val="both"/>
        <w:rPr>
          <w:i/>
          <w:color w:val="000000"/>
          <w:sz w:val="28"/>
          <w:szCs w:val="28"/>
        </w:rPr>
      </w:pPr>
      <w:r w:rsidRPr="006F4FB0">
        <w:rPr>
          <w:i/>
          <w:color w:val="000000"/>
          <w:sz w:val="28"/>
          <w:szCs w:val="28"/>
        </w:rPr>
        <w:lastRenderedPageBreak/>
        <w:t xml:space="preserve"> Bản đánh giá thủ tục hành chính trong dự thảo</w:t>
      </w:r>
      <w:r>
        <w:rPr>
          <w:i/>
          <w:color w:val="000000"/>
          <w:sz w:val="28"/>
          <w:szCs w:val="28"/>
        </w:rPr>
        <w:t xml:space="preserve">; </w:t>
      </w:r>
      <w:r w:rsidRPr="006F4FB0">
        <w:rPr>
          <w:i/>
          <w:color w:val="000000"/>
          <w:sz w:val="28"/>
          <w:szCs w:val="28"/>
        </w:rPr>
        <w:t xml:space="preserve">báo cáo về </w:t>
      </w:r>
      <w:r>
        <w:rPr>
          <w:i/>
          <w:color w:val="000000"/>
          <w:sz w:val="28"/>
          <w:szCs w:val="28"/>
        </w:rPr>
        <w:t>lồng ghép vấn đề bình đẳng giới</w:t>
      </w:r>
      <w:r w:rsidR="006C44A8">
        <w:rPr>
          <w:i/>
          <w:color w:val="000000"/>
          <w:sz w:val="28"/>
          <w:szCs w:val="28"/>
        </w:rPr>
        <w:t>.</w:t>
      </w:r>
    </w:p>
    <w:p w:rsidR="006F4FB0" w:rsidRPr="00E266FB" w:rsidRDefault="006F4FB0" w:rsidP="00E266FB">
      <w:pPr>
        <w:pStyle w:val="NormalWeb"/>
        <w:shd w:val="clear" w:color="auto" w:fill="FFFFFF"/>
        <w:tabs>
          <w:tab w:val="left" w:pos="567"/>
          <w:tab w:val="left" w:pos="851"/>
          <w:tab w:val="left" w:pos="993"/>
        </w:tabs>
        <w:spacing w:before="120" w:beforeAutospacing="0" w:after="120" w:afterAutospacing="0" w:line="234" w:lineRule="atLeast"/>
        <w:rPr>
          <w:sz w:val="28"/>
          <w:szCs w:val="28"/>
        </w:rPr>
      </w:pPr>
      <w:r>
        <w:rPr>
          <w:i/>
          <w:color w:val="000000"/>
          <w:sz w:val="28"/>
          <w:szCs w:val="28"/>
        </w:rPr>
        <w:tab/>
      </w:r>
      <w:r w:rsidR="006C44A8">
        <w:rPr>
          <w:sz w:val="28"/>
          <w:szCs w:val="28"/>
        </w:rPr>
        <w:t>Trân trọng cả</w:t>
      </w:r>
      <w:r w:rsidRPr="00E266FB">
        <w:rPr>
          <w:sz w:val="28"/>
          <w:szCs w:val="28"/>
        </w:rPr>
        <w:t xml:space="preserve">m ơn sự phối hợp công tác </w:t>
      </w:r>
      <w:r w:rsidRPr="00E266FB">
        <w:rPr>
          <w:iCs/>
          <w:sz w:val="28"/>
          <w:szCs w:val="28"/>
          <w:lang w:val="nl-NL"/>
        </w:rPr>
        <w:t>của</w:t>
      </w:r>
      <w:r w:rsidRPr="00E266FB">
        <w:rPr>
          <w:sz w:val="28"/>
          <w:szCs w:val="28"/>
        </w:rPr>
        <w:t xml:space="preserve"> quý Bộ./.</w:t>
      </w:r>
    </w:p>
    <w:p w:rsidR="006F4FB0" w:rsidRDefault="006F4FB0" w:rsidP="006F4FB0">
      <w:pPr>
        <w:widowControl w:val="0"/>
        <w:ind w:firstLine="720"/>
        <w:jc w:val="both"/>
      </w:pPr>
    </w:p>
    <w:tbl>
      <w:tblPr>
        <w:tblW w:w="0" w:type="auto"/>
        <w:tblCellMar>
          <w:left w:w="28" w:type="dxa"/>
          <w:right w:w="28" w:type="dxa"/>
        </w:tblCellMar>
        <w:tblLook w:val="01E0" w:firstRow="1" w:lastRow="1" w:firstColumn="1" w:lastColumn="1" w:noHBand="0" w:noVBand="0"/>
      </w:tblPr>
      <w:tblGrid>
        <w:gridCol w:w="5273"/>
        <w:gridCol w:w="4138"/>
      </w:tblGrid>
      <w:tr w:rsidR="006F4FB0" w:rsidTr="006F4FB0">
        <w:tc>
          <w:tcPr>
            <w:tcW w:w="5273" w:type="dxa"/>
            <w:hideMark/>
          </w:tcPr>
          <w:p w:rsidR="006F4FB0" w:rsidRDefault="006F4FB0">
            <w:pPr>
              <w:widowControl w:val="0"/>
              <w:jc w:val="both"/>
              <w:rPr>
                <w:rFonts w:eastAsia="Times New Roman"/>
                <w:b/>
                <w:i/>
                <w:szCs w:val="26"/>
                <w:lang w:val="nl-NL"/>
              </w:rPr>
            </w:pPr>
            <w:r>
              <w:rPr>
                <w:rFonts w:eastAsia="Times New Roman"/>
                <w:b/>
                <w:i/>
                <w:sz w:val="24"/>
                <w:lang w:val="nl-NL"/>
              </w:rPr>
              <w:t>Nơi nhận:</w:t>
            </w:r>
          </w:p>
        </w:tc>
        <w:tc>
          <w:tcPr>
            <w:tcW w:w="4138" w:type="dxa"/>
            <w:hideMark/>
          </w:tcPr>
          <w:p w:rsidR="006F4FB0" w:rsidRDefault="006F4FB0">
            <w:pPr>
              <w:widowControl w:val="0"/>
              <w:jc w:val="center"/>
              <w:rPr>
                <w:rFonts w:eastAsia="Times New Roman"/>
                <w:b/>
                <w:sz w:val="26"/>
                <w:szCs w:val="26"/>
                <w:lang w:val="nl-NL"/>
              </w:rPr>
            </w:pPr>
            <w:r>
              <w:rPr>
                <w:rFonts w:eastAsia="Times New Roman"/>
                <w:b/>
                <w:sz w:val="26"/>
                <w:szCs w:val="26"/>
                <w:lang w:val="nl-NL"/>
              </w:rPr>
              <w:t>KT. BỘ TRƯỞNG</w:t>
            </w:r>
          </w:p>
        </w:tc>
      </w:tr>
      <w:tr w:rsidR="006F4FB0" w:rsidTr="006F4FB0">
        <w:tc>
          <w:tcPr>
            <w:tcW w:w="5273" w:type="dxa"/>
            <w:vMerge w:val="restart"/>
            <w:hideMark/>
          </w:tcPr>
          <w:p w:rsidR="006F4FB0" w:rsidRDefault="006F4FB0">
            <w:pPr>
              <w:widowControl w:val="0"/>
              <w:jc w:val="both"/>
              <w:rPr>
                <w:rFonts w:eastAsia="Times New Roman"/>
                <w:b/>
                <w:sz w:val="22"/>
                <w:lang w:val="nl-NL"/>
              </w:rPr>
            </w:pPr>
            <w:r>
              <w:rPr>
                <w:rFonts w:eastAsia="Times New Roman"/>
                <w:sz w:val="22"/>
                <w:lang w:val="nl-NL"/>
              </w:rPr>
              <w:t xml:space="preserve">- </w:t>
            </w:r>
            <w:r>
              <w:rPr>
                <w:sz w:val="22"/>
                <w:lang w:val="nl-NL"/>
              </w:rPr>
              <w:t>Như trên</w:t>
            </w:r>
            <w:r>
              <w:rPr>
                <w:rFonts w:eastAsia="Times New Roman"/>
                <w:sz w:val="22"/>
                <w:lang w:val="nl-NL"/>
              </w:rPr>
              <w:t>;</w:t>
            </w:r>
          </w:p>
          <w:p w:rsidR="006F4FB0" w:rsidRDefault="006F4FB0">
            <w:pPr>
              <w:widowControl w:val="0"/>
              <w:jc w:val="both"/>
              <w:rPr>
                <w:rFonts w:eastAsia="Times New Roman"/>
                <w:sz w:val="22"/>
                <w:lang w:val="nl-NL"/>
              </w:rPr>
            </w:pPr>
            <w:r>
              <w:rPr>
                <w:rFonts w:eastAsia="Times New Roman"/>
                <w:sz w:val="22"/>
                <w:lang w:val="nl-NL"/>
              </w:rPr>
              <w:t>- Bộ trưởng (để báo cáo);</w:t>
            </w:r>
          </w:p>
          <w:p w:rsidR="006F4FB0" w:rsidRDefault="006F4FB0">
            <w:pPr>
              <w:widowControl w:val="0"/>
              <w:jc w:val="both"/>
              <w:rPr>
                <w:rFonts w:eastAsia="Times New Roman"/>
                <w:sz w:val="22"/>
                <w:lang w:val="nl-NL"/>
              </w:rPr>
            </w:pPr>
            <w:r>
              <w:rPr>
                <w:rFonts w:eastAsia="Times New Roman"/>
                <w:sz w:val="22"/>
                <w:lang w:val="nl-NL"/>
              </w:rPr>
              <w:t xml:space="preserve">- Văn phòng </w:t>
            </w:r>
            <w:r>
              <w:rPr>
                <w:rFonts w:eastAsia="Times New Roman"/>
                <w:bCs/>
                <w:sz w:val="22"/>
                <w:lang w:val="nl-NL"/>
              </w:rPr>
              <w:t>Chính phủ</w:t>
            </w:r>
            <w:r>
              <w:rPr>
                <w:rFonts w:eastAsia="Times New Roman"/>
                <w:sz w:val="22"/>
                <w:lang w:val="nl-NL"/>
              </w:rPr>
              <w:t>;</w:t>
            </w:r>
          </w:p>
          <w:p w:rsidR="006F4FB0" w:rsidRDefault="006F4FB0">
            <w:pPr>
              <w:widowControl w:val="0"/>
              <w:jc w:val="both"/>
              <w:rPr>
                <w:sz w:val="22"/>
                <w:lang w:val="nl-NL"/>
              </w:rPr>
            </w:pPr>
            <w:r>
              <w:rPr>
                <w:rFonts w:eastAsia="Times New Roman"/>
                <w:sz w:val="22"/>
                <w:lang w:val="nl-NL"/>
              </w:rPr>
              <w:t>- Vụ CST, Vụ PC (BTC);</w:t>
            </w:r>
          </w:p>
          <w:p w:rsidR="006F4FB0" w:rsidRDefault="005F1C91">
            <w:pPr>
              <w:widowControl w:val="0"/>
              <w:jc w:val="both"/>
              <w:rPr>
                <w:rFonts w:eastAsia="Times New Roman"/>
                <w:i/>
                <w:sz w:val="22"/>
                <w:lang w:val="nl-NL"/>
              </w:rPr>
            </w:pPr>
            <w:r>
              <w:rPr>
                <w:rFonts w:eastAsia="Times New Roman"/>
                <w:sz w:val="22"/>
                <w:lang w:val="nl-NL"/>
              </w:rPr>
              <w:t>- Lưu: VT, TCT (VP, PC</w:t>
            </w:r>
            <w:bookmarkStart w:id="0" w:name="_GoBack"/>
            <w:bookmarkEnd w:id="0"/>
            <w:r w:rsidR="006F4FB0">
              <w:rPr>
                <w:rFonts w:eastAsia="Times New Roman"/>
                <w:sz w:val="22"/>
                <w:lang w:val="nl-NL"/>
              </w:rPr>
              <w:t>).</w:t>
            </w:r>
          </w:p>
        </w:tc>
        <w:tc>
          <w:tcPr>
            <w:tcW w:w="4138" w:type="dxa"/>
            <w:hideMark/>
          </w:tcPr>
          <w:p w:rsidR="006F4FB0" w:rsidRDefault="006F4FB0">
            <w:pPr>
              <w:widowControl w:val="0"/>
              <w:jc w:val="center"/>
              <w:rPr>
                <w:rFonts w:eastAsia="Times New Roman"/>
                <w:b/>
                <w:sz w:val="26"/>
                <w:szCs w:val="26"/>
                <w:lang w:val="nl-NL"/>
              </w:rPr>
            </w:pPr>
            <w:r>
              <w:rPr>
                <w:rFonts w:eastAsia="Times New Roman"/>
                <w:b/>
                <w:sz w:val="26"/>
                <w:szCs w:val="26"/>
                <w:lang w:val="nl-NL"/>
              </w:rPr>
              <w:t>THỨ TRƯỞNG</w:t>
            </w:r>
          </w:p>
        </w:tc>
      </w:tr>
      <w:tr w:rsidR="006F4FB0" w:rsidTr="006F4FB0">
        <w:tc>
          <w:tcPr>
            <w:tcW w:w="0" w:type="auto"/>
            <w:vMerge/>
            <w:vAlign w:val="center"/>
            <w:hideMark/>
          </w:tcPr>
          <w:p w:rsidR="006F4FB0" w:rsidRDefault="006F4FB0">
            <w:pPr>
              <w:jc w:val="left"/>
              <w:rPr>
                <w:rFonts w:eastAsia="Times New Roman"/>
                <w:i/>
                <w:sz w:val="22"/>
                <w:lang w:val="nl-NL"/>
              </w:rPr>
            </w:pPr>
          </w:p>
        </w:tc>
        <w:tc>
          <w:tcPr>
            <w:tcW w:w="4138" w:type="dxa"/>
          </w:tcPr>
          <w:p w:rsidR="006F4FB0" w:rsidRDefault="006F4FB0">
            <w:pPr>
              <w:widowControl w:val="0"/>
              <w:jc w:val="center"/>
              <w:rPr>
                <w:rFonts w:eastAsia="Times New Roman"/>
                <w:lang w:val="nl-NL"/>
              </w:rPr>
            </w:pPr>
          </w:p>
          <w:p w:rsidR="006F4FB0" w:rsidRDefault="006F4FB0">
            <w:pPr>
              <w:widowControl w:val="0"/>
              <w:jc w:val="center"/>
              <w:rPr>
                <w:rFonts w:eastAsia="Times New Roman"/>
                <w:lang w:val="nl-NL"/>
              </w:rPr>
            </w:pPr>
          </w:p>
          <w:p w:rsidR="006F4FB0" w:rsidRDefault="006F4FB0">
            <w:pPr>
              <w:widowControl w:val="0"/>
              <w:jc w:val="center"/>
              <w:rPr>
                <w:b/>
                <w:lang w:val="nl-NL"/>
              </w:rPr>
            </w:pPr>
          </w:p>
          <w:p w:rsidR="006F4FB0" w:rsidRDefault="006F4FB0">
            <w:pPr>
              <w:widowControl w:val="0"/>
              <w:jc w:val="center"/>
              <w:rPr>
                <w:b/>
                <w:lang w:val="nl-NL"/>
              </w:rPr>
            </w:pPr>
          </w:p>
          <w:p w:rsidR="006F4FB0" w:rsidRDefault="006F4FB0">
            <w:pPr>
              <w:widowControl w:val="0"/>
              <w:jc w:val="center"/>
              <w:rPr>
                <w:b/>
                <w:lang w:val="nl-NL"/>
              </w:rPr>
            </w:pPr>
          </w:p>
          <w:p w:rsidR="006F4FB0" w:rsidRDefault="006F4FB0">
            <w:pPr>
              <w:widowControl w:val="0"/>
              <w:jc w:val="center"/>
              <w:rPr>
                <w:b/>
                <w:lang w:val="nl-NL"/>
              </w:rPr>
            </w:pPr>
          </w:p>
          <w:p w:rsidR="006F4FB0" w:rsidRDefault="006C44A8">
            <w:pPr>
              <w:widowControl w:val="0"/>
              <w:jc w:val="center"/>
              <w:rPr>
                <w:rFonts w:eastAsia="Times New Roman"/>
                <w:b/>
                <w:lang w:val="nl-NL"/>
              </w:rPr>
            </w:pPr>
            <w:r>
              <w:rPr>
                <w:rFonts w:eastAsia="Times New Roman"/>
                <w:b/>
                <w:lang w:val="nl-NL"/>
              </w:rPr>
              <w:t xml:space="preserve">   </w:t>
            </w:r>
            <w:r w:rsidR="006F4FB0">
              <w:rPr>
                <w:rFonts w:eastAsia="Times New Roman"/>
                <w:b/>
                <w:lang w:val="nl-NL"/>
              </w:rPr>
              <w:t>Trần Xuân Hà</w:t>
            </w:r>
          </w:p>
        </w:tc>
      </w:tr>
    </w:tbl>
    <w:p w:rsidR="006F4FB0" w:rsidRDefault="006F4FB0" w:rsidP="006F4FB0">
      <w:pPr>
        <w:widowControl w:val="0"/>
        <w:jc w:val="both"/>
      </w:pPr>
    </w:p>
    <w:p w:rsidR="006A6D75" w:rsidRDefault="006A6D75"/>
    <w:sectPr w:rsidR="006A6D75" w:rsidSect="005F7CC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71192"/>
    <w:multiLevelType w:val="hybridMultilevel"/>
    <w:tmpl w:val="F64090C0"/>
    <w:lvl w:ilvl="0" w:tplc="F14C93C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26D0334"/>
    <w:multiLevelType w:val="hybridMultilevel"/>
    <w:tmpl w:val="65E0BEB4"/>
    <w:lvl w:ilvl="0" w:tplc="3FCAAA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EA"/>
    <w:rsid w:val="005F1C91"/>
    <w:rsid w:val="005F7CC0"/>
    <w:rsid w:val="006A6D75"/>
    <w:rsid w:val="006C44A8"/>
    <w:rsid w:val="006F4FB0"/>
    <w:rsid w:val="00872AEA"/>
    <w:rsid w:val="00B81D48"/>
    <w:rsid w:val="00E2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FB0"/>
    <w:pPr>
      <w:spacing w:after="0" w:line="240" w:lineRule="auto"/>
      <w:jc w:val="right"/>
    </w:pPr>
    <w:rPr>
      <w:rFonts w:ascii="Times New Roman" w:eastAsia="Calibri" w:hAnsi="Times New Roman" w:cs="Times New Roman"/>
      <w:sz w:val="28"/>
    </w:rPr>
  </w:style>
  <w:style w:type="paragraph" w:styleId="Heading7">
    <w:name w:val="heading 7"/>
    <w:basedOn w:val="Normal"/>
    <w:next w:val="Normal"/>
    <w:link w:val="Heading7Char"/>
    <w:unhideWhenUsed/>
    <w:qFormat/>
    <w:rsid w:val="006F4FB0"/>
    <w:pPr>
      <w:keepNext/>
      <w:jc w:val="center"/>
      <w:outlineLvl w:val="6"/>
    </w:pPr>
    <w:rPr>
      <w:rFonts w:ascii=".VnTime" w:eastAsia="Times New Roman" w:hAnsi=".VnTime"/>
      <w:i/>
      <w:iCs/>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F4FB0"/>
    <w:rPr>
      <w:rFonts w:ascii=".VnTime" w:eastAsia="Times New Roman" w:hAnsi=".VnTime" w:cs="Times New Roman"/>
      <w:i/>
      <w:iCs/>
      <w:sz w:val="20"/>
      <w:szCs w:val="28"/>
      <w:lang w:val="x-none" w:eastAsia="x-none"/>
    </w:rPr>
  </w:style>
  <w:style w:type="paragraph" w:styleId="ListParagraph">
    <w:name w:val="List Paragraph"/>
    <w:basedOn w:val="Normal"/>
    <w:uiPriority w:val="34"/>
    <w:qFormat/>
    <w:rsid w:val="006F4FB0"/>
    <w:pPr>
      <w:ind w:left="720"/>
      <w:contextualSpacing/>
    </w:pPr>
  </w:style>
  <w:style w:type="paragraph" w:styleId="NormalWeb">
    <w:name w:val="Normal (Web)"/>
    <w:basedOn w:val="Normal"/>
    <w:uiPriority w:val="99"/>
    <w:unhideWhenUsed/>
    <w:rsid w:val="006F4FB0"/>
    <w:pPr>
      <w:spacing w:before="100" w:beforeAutospacing="1" w:after="100" w:afterAutospacing="1"/>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FB0"/>
    <w:pPr>
      <w:spacing w:after="0" w:line="240" w:lineRule="auto"/>
      <w:jc w:val="right"/>
    </w:pPr>
    <w:rPr>
      <w:rFonts w:ascii="Times New Roman" w:eastAsia="Calibri" w:hAnsi="Times New Roman" w:cs="Times New Roman"/>
      <w:sz w:val="28"/>
    </w:rPr>
  </w:style>
  <w:style w:type="paragraph" w:styleId="Heading7">
    <w:name w:val="heading 7"/>
    <w:basedOn w:val="Normal"/>
    <w:next w:val="Normal"/>
    <w:link w:val="Heading7Char"/>
    <w:unhideWhenUsed/>
    <w:qFormat/>
    <w:rsid w:val="006F4FB0"/>
    <w:pPr>
      <w:keepNext/>
      <w:jc w:val="center"/>
      <w:outlineLvl w:val="6"/>
    </w:pPr>
    <w:rPr>
      <w:rFonts w:ascii=".VnTime" w:eastAsia="Times New Roman" w:hAnsi=".VnTime"/>
      <w:i/>
      <w:iCs/>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F4FB0"/>
    <w:rPr>
      <w:rFonts w:ascii=".VnTime" w:eastAsia="Times New Roman" w:hAnsi=".VnTime" w:cs="Times New Roman"/>
      <w:i/>
      <w:iCs/>
      <w:sz w:val="20"/>
      <w:szCs w:val="28"/>
      <w:lang w:val="x-none" w:eastAsia="x-none"/>
    </w:rPr>
  </w:style>
  <w:style w:type="paragraph" w:styleId="ListParagraph">
    <w:name w:val="List Paragraph"/>
    <w:basedOn w:val="Normal"/>
    <w:uiPriority w:val="34"/>
    <w:qFormat/>
    <w:rsid w:val="006F4FB0"/>
    <w:pPr>
      <w:ind w:left="720"/>
      <w:contextualSpacing/>
    </w:pPr>
  </w:style>
  <w:style w:type="paragraph" w:styleId="NormalWeb">
    <w:name w:val="Normal (Web)"/>
    <w:basedOn w:val="Normal"/>
    <w:uiPriority w:val="99"/>
    <w:unhideWhenUsed/>
    <w:rsid w:val="006F4FB0"/>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30971">
      <w:bodyDiv w:val="1"/>
      <w:marLeft w:val="0"/>
      <w:marRight w:val="0"/>
      <w:marTop w:val="0"/>
      <w:marBottom w:val="0"/>
      <w:divBdr>
        <w:top w:val="none" w:sz="0" w:space="0" w:color="auto"/>
        <w:left w:val="none" w:sz="0" w:space="0" w:color="auto"/>
        <w:bottom w:val="none" w:sz="0" w:space="0" w:color="auto"/>
        <w:right w:val="none" w:sz="0" w:space="0" w:color="auto"/>
      </w:divBdr>
    </w:div>
    <w:div w:id="205176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CE79A-D5E6-43F8-9576-49B49D02BE15}"/>
</file>

<file path=customXml/itemProps2.xml><?xml version="1.0" encoding="utf-8"?>
<ds:datastoreItem xmlns:ds="http://schemas.openxmlformats.org/officeDocument/2006/customXml" ds:itemID="{0865F83A-8D4C-48A9-A305-846C44E529E2}"/>
</file>

<file path=customXml/itemProps3.xml><?xml version="1.0" encoding="utf-8"?>
<ds:datastoreItem xmlns:ds="http://schemas.openxmlformats.org/officeDocument/2006/customXml" ds:itemID="{DDB88374-88A3-4BFA-9D8F-A545F481AFF6}"/>
</file>

<file path=docProps/app.xml><?xml version="1.0" encoding="utf-8"?>
<Properties xmlns="http://schemas.openxmlformats.org/officeDocument/2006/extended-properties" xmlns:vt="http://schemas.openxmlformats.org/officeDocument/2006/docPropsVTypes">
  <Template>Normal</Template>
  <TotalTime>21</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Tong Cuc Thue</cp:lastModifiedBy>
  <cp:revision>8</cp:revision>
  <cp:lastPrinted>2020-04-13T03:27:00Z</cp:lastPrinted>
  <dcterms:created xsi:type="dcterms:W3CDTF">2020-04-01T05:59:00Z</dcterms:created>
  <dcterms:modified xsi:type="dcterms:W3CDTF">2020-04-20T06:02:00Z</dcterms:modified>
</cp:coreProperties>
</file>